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7B43" w14:textId="4CC67FF0" w:rsidR="00743275" w:rsidRDefault="00743275" w:rsidP="00743275">
      <w:pPr>
        <w:spacing w:line="259" w:lineRule="auto"/>
        <w:ind w:left="1440" w:firstLine="720"/>
        <w:contextualSpacing/>
        <w:rPr>
          <w:b/>
          <w:bCs/>
          <w:u w:val="single"/>
          <w:lang w:val="el-GR"/>
        </w:rPr>
      </w:pPr>
      <w:r w:rsidRPr="00655D35">
        <w:rPr>
          <w:b/>
          <w:bCs/>
          <w:u w:val="single"/>
          <w:lang w:val="el-GR"/>
        </w:rPr>
        <w:t xml:space="preserve">Διαδικτυακή Παρουσίαση ΟΠΣ Ηριδανός – </w:t>
      </w:r>
      <w:r>
        <w:rPr>
          <w:b/>
          <w:bCs/>
          <w:u w:val="single"/>
          <w:lang w:val="el-GR"/>
        </w:rPr>
        <w:t>8</w:t>
      </w:r>
      <w:r w:rsidRPr="00655D35">
        <w:rPr>
          <w:b/>
          <w:bCs/>
          <w:u w:val="single"/>
          <w:vertAlign w:val="superscript"/>
          <w:lang w:val="el-GR"/>
        </w:rPr>
        <w:t>η</w:t>
      </w:r>
    </w:p>
    <w:p w14:paraId="0B0B85D8" w14:textId="77777777" w:rsidR="00743275" w:rsidRPr="00655D35" w:rsidRDefault="00743275" w:rsidP="00743275">
      <w:pPr>
        <w:spacing w:line="259" w:lineRule="auto"/>
        <w:ind w:left="1440" w:firstLine="720"/>
        <w:contextualSpacing/>
        <w:rPr>
          <w:b/>
          <w:bCs/>
          <w:u w:val="single"/>
          <w:lang w:val="el-GR"/>
        </w:rPr>
      </w:pPr>
    </w:p>
    <w:p w14:paraId="541A7467" w14:textId="563AA9F4" w:rsidR="00743275" w:rsidRPr="00C14337" w:rsidRDefault="00743275" w:rsidP="0074327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sidR="00287AA6">
        <w:rPr>
          <w:rFonts w:ascii="Calibri" w:eastAsia="Calibri" w:hAnsi="Calibri" w:cs="Times New Roman"/>
          <w:kern w:val="0"/>
          <w:sz w:val="20"/>
          <w:szCs w:val="20"/>
          <w:lang w:val="el-GR"/>
          <w14:ligatures w14:val="none"/>
        </w:rPr>
        <w:t>Εργαλεία αποτύπωσης Ψυχοκοινωνικών κινδύνων στην εργασία» την Παρασκευή 12 Σεπτεμβρίου 2025</w:t>
      </w:r>
      <w:r w:rsidRPr="00C14337">
        <w:rPr>
          <w:rFonts w:ascii="Calibri" w:eastAsia="Calibri" w:hAnsi="Calibri" w:cs="Times New Roman"/>
          <w:kern w:val="0"/>
          <w:sz w:val="20"/>
          <w:szCs w:val="20"/>
          <w:lang w:val="el-GR"/>
          <w14:ligatures w14:val="none"/>
        </w:rPr>
        <w:t xml:space="preserve"> όπου ώρα έναρξης ήταν 1</w:t>
      </w:r>
      <w:r w:rsidR="00287AA6">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00 π.μ. και ώρα λήξης ήταν 1</w:t>
      </w:r>
      <w:r w:rsidR="00287AA6">
        <w:rPr>
          <w:rFonts w:ascii="Calibri" w:eastAsia="Calibri" w:hAnsi="Calibri" w:cs="Times New Roman"/>
          <w:kern w:val="0"/>
          <w:sz w:val="20"/>
          <w:szCs w:val="20"/>
          <w:lang w:val="el-GR"/>
          <w14:ligatures w14:val="none"/>
        </w:rPr>
        <w:t>4</w:t>
      </w:r>
      <w:r w:rsidRPr="00C14337">
        <w:rPr>
          <w:rFonts w:ascii="Calibri" w:eastAsia="Calibri" w:hAnsi="Calibri" w:cs="Times New Roman"/>
          <w:kern w:val="0"/>
          <w:sz w:val="20"/>
          <w:szCs w:val="20"/>
          <w:lang w:val="el-GR"/>
          <w14:ligatures w14:val="none"/>
        </w:rPr>
        <w:t xml:space="preserve"> : 00 μ.μ. . </w:t>
      </w:r>
    </w:p>
    <w:p w14:paraId="15F07175" w14:textId="77777777" w:rsidR="00743275" w:rsidRPr="00C14337" w:rsidRDefault="00743275" w:rsidP="0074327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443D4768" w14:textId="77777777" w:rsidR="00743275" w:rsidRPr="00C14337" w:rsidRDefault="00743275" w:rsidP="00743275">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7DE93991"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7752793E"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32022C3F"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186835F2"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70EA3C35"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6514BF67"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67FFBFE3"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59714FC4"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6B0DE60C"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0F3F3E04"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083AE969"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57191F55"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79D3F6F0"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53B54714"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6C74A7B3"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52526B46"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3EEA2FFA"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393F519A"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4D2A5B3C" w14:textId="77777777" w:rsidR="00743275" w:rsidRPr="00C14337"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6CFAE1EA" w14:textId="77777777" w:rsidR="00743275" w:rsidRDefault="00743275" w:rsidP="00743275">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6FB9B508" w14:textId="77777777" w:rsidR="00743275" w:rsidRPr="00FC1C52" w:rsidRDefault="00743275" w:rsidP="00743275">
      <w:pPr>
        <w:spacing w:line="259" w:lineRule="auto"/>
        <w:ind w:left="720"/>
        <w:contextualSpacing/>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Παρουσίαση Τεχνικοί Ασφάλειας</w:t>
      </w:r>
      <w:r w:rsidRPr="00FC1C52">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Μητρώο εκπαιδευτών – Απολογισμός δραστηριότητας</w:t>
      </w:r>
    </w:p>
    <w:p w14:paraId="4262EAD1" w14:textId="77777777" w:rsidR="00743275" w:rsidRPr="0066073C" w:rsidRDefault="00743275" w:rsidP="00743275">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Συζήτηση – Ερωτήσεις</w:t>
      </w:r>
      <w:r w:rsidRPr="00C14337">
        <w:rPr>
          <w:rFonts w:ascii="Calibri" w:eastAsia="Calibri" w:hAnsi="Calibri" w:cs="Times New Roman"/>
          <w:kern w:val="0"/>
          <w:sz w:val="20"/>
          <w:szCs w:val="20"/>
          <w14:ligatures w14:val="none"/>
        </w:rPr>
        <w:t xml:space="preserve"> : </w:t>
      </w:r>
      <w:r>
        <w:rPr>
          <w:rFonts w:ascii="Calibri" w:eastAsia="Calibri" w:hAnsi="Calibri" w:cs="Times New Roman"/>
          <w:kern w:val="0"/>
          <w:sz w:val="20"/>
          <w:szCs w:val="20"/>
          <w:lang w:val="el-GR"/>
          <w14:ligatures w14:val="none"/>
        </w:rPr>
        <w:t>Καμία</w:t>
      </w:r>
    </w:p>
    <w:p w14:paraId="047AF5FC" w14:textId="21A7C6E6" w:rsidR="0066073C" w:rsidRDefault="006C2B63" w:rsidP="006C2B63">
      <w:pPr>
        <w:spacing w:line="259" w:lineRule="auto"/>
        <w:ind w:left="720"/>
        <w:contextualSpacing/>
        <w:rPr>
          <w:rFonts w:ascii="Calibri" w:eastAsia="Calibri" w:hAnsi="Calibri" w:cs="Times New Roman"/>
          <w:kern w:val="0"/>
          <w:sz w:val="20"/>
          <w:szCs w:val="20"/>
          <w:lang w:val="el-GR"/>
          <w14:ligatures w14:val="none"/>
        </w:rPr>
      </w:pPr>
      <w:r w:rsidRPr="00287AA6">
        <w:rPr>
          <w:rFonts w:ascii="Calibri" w:eastAsia="Calibri" w:hAnsi="Calibri" w:cs="Times New Roman"/>
          <w:b/>
          <w:bCs/>
          <w:kern w:val="0"/>
          <w:sz w:val="20"/>
          <w:szCs w:val="20"/>
          <w:lang w:val="el-GR"/>
          <w14:ligatures w14:val="none"/>
        </w:rPr>
        <w:t>κ</w:t>
      </w:r>
      <w:r w:rsidR="0066073C" w:rsidRPr="00287AA6">
        <w:rPr>
          <w:rFonts w:ascii="Calibri" w:eastAsia="Calibri" w:hAnsi="Calibri" w:cs="Times New Roman"/>
          <w:b/>
          <w:bCs/>
          <w:kern w:val="0"/>
          <w:sz w:val="20"/>
          <w:szCs w:val="20"/>
          <w:lang w:val="el-GR"/>
          <w14:ligatures w14:val="none"/>
        </w:rPr>
        <w:t>α Ντούση:</w:t>
      </w:r>
      <w:r w:rsidR="0066073C" w:rsidRPr="0066073C">
        <w:rPr>
          <w:rFonts w:ascii="Calibri" w:eastAsia="Calibri" w:hAnsi="Calibri" w:cs="Times New Roman"/>
          <w:kern w:val="0"/>
          <w:sz w:val="20"/>
          <w:szCs w:val="20"/>
          <w:lang w:val="el-GR"/>
          <w14:ligatures w14:val="none"/>
        </w:rPr>
        <w:t xml:space="preserve"> </w:t>
      </w:r>
      <w:r w:rsidR="0066073C">
        <w:rPr>
          <w:rFonts w:ascii="Calibri" w:eastAsia="Calibri" w:hAnsi="Calibri" w:cs="Times New Roman"/>
          <w:kern w:val="0"/>
          <w:sz w:val="20"/>
          <w:szCs w:val="20"/>
          <w:lang w:val="el-GR"/>
          <w14:ligatures w14:val="none"/>
        </w:rPr>
        <w:t xml:space="preserve">Έχει προχωρήσει και ένα δεύτερο σκέλος που είναι </w:t>
      </w:r>
      <w:r>
        <w:rPr>
          <w:rFonts w:ascii="Calibri" w:eastAsia="Calibri" w:hAnsi="Calibri" w:cs="Times New Roman"/>
          <w:kern w:val="0"/>
          <w:sz w:val="20"/>
          <w:szCs w:val="20"/>
          <w:lang w:val="el-GR"/>
          <w14:ligatures w14:val="none"/>
        </w:rPr>
        <w:t>πώς καταχωρούνται τα δεδομένα σε στατιστικούς πίνακες?</w:t>
      </w:r>
    </w:p>
    <w:p w14:paraId="04B7C1B0" w14:textId="4E358764" w:rsidR="006C2B63" w:rsidRPr="006C2B63" w:rsidRDefault="00287AA6" w:rsidP="006C2B63">
      <w:pPr>
        <w:spacing w:line="259" w:lineRule="auto"/>
        <w:ind w:left="720"/>
        <w:contextualSpacing/>
        <w:rPr>
          <w:rFonts w:ascii="Calibri" w:eastAsia="Calibri" w:hAnsi="Calibri" w:cs="Times New Roman"/>
          <w:kern w:val="0"/>
          <w:sz w:val="20"/>
          <w:szCs w:val="20"/>
          <w:lang w:val="el-GR"/>
          <w14:ligatures w14:val="none"/>
        </w:rPr>
      </w:pPr>
      <w:r w:rsidRPr="00287AA6">
        <w:rPr>
          <w:rFonts w:ascii="Calibri" w:eastAsia="Calibri" w:hAnsi="Calibri" w:cs="Times New Roman"/>
          <w:b/>
          <w:bCs/>
          <w:kern w:val="0"/>
          <w:sz w:val="20"/>
          <w:szCs w:val="20"/>
          <w:lang w:val="el-GR"/>
          <w14:ligatures w14:val="none"/>
        </w:rPr>
        <w:t>κ</w:t>
      </w:r>
      <w:r w:rsidR="006C2B63" w:rsidRPr="00287AA6">
        <w:rPr>
          <w:rFonts w:ascii="Calibri" w:eastAsia="Calibri" w:hAnsi="Calibri" w:cs="Times New Roman"/>
          <w:b/>
          <w:bCs/>
          <w:kern w:val="0"/>
          <w:sz w:val="20"/>
          <w:szCs w:val="20"/>
          <w:lang w:val="el-GR"/>
          <w14:ligatures w14:val="none"/>
        </w:rPr>
        <w:t>α Ντάρδα Χρυσή:</w:t>
      </w:r>
      <w:r w:rsidR="006C2B63" w:rsidRPr="006C2B63">
        <w:rPr>
          <w:rFonts w:ascii="Calibri" w:eastAsia="Calibri" w:hAnsi="Calibri" w:cs="Times New Roman"/>
          <w:kern w:val="0"/>
          <w:sz w:val="20"/>
          <w:szCs w:val="20"/>
          <w:lang w:val="el-GR"/>
          <w14:ligatures w14:val="none"/>
        </w:rPr>
        <w:t xml:space="preserve"> </w:t>
      </w:r>
      <w:r w:rsidR="006C2B63">
        <w:rPr>
          <w:rFonts w:ascii="Calibri" w:eastAsia="Calibri" w:hAnsi="Calibri" w:cs="Times New Roman"/>
          <w:kern w:val="0"/>
          <w:sz w:val="20"/>
          <w:szCs w:val="20"/>
          <w:lang w:val="el-GR"/>
          <w14:ligatures w14:val="none"/>
        </w:rPr>
        <w:t>Έχουν ολοκληρωθεί όλες οι απαιτήσεις για το σύστημα σήμερα παρουσιάζουμε στο ευρύ κοινό ενδεικτικά</w:t>
      </w:r>
      <w:r>
        <w:rPr>
          <w:rFonts w:ascii="Calibri" w:eastAsia="Calibri" w:hAnsi="Calibri" w:cs="Times New Roman"/>
          <w:kern w:val="0"/>
          <w:sz w:val="20"/>
          <w:szCs w:val="20"/>
          <w:lang w:val="el-GR"/>
          <w14:ligatures w14:val="none"/>
        </w:rPr>
        <w:t xml:space="preserve"> κάποιες διαδικασίες για το σύστημα οπότε οποιαδήποτε άλλα θέματα μπορούμε να τα συζητήσουμε και σε κάποια άλλη.</w:t>
      </w:r>
    </w:p>
    <w:p w14:paraId="67D737F4" w14:textId="77777777" w:rsidR="00743275" w:rsidRPr="0066073C" w:rsidRDefault="00743275" w:rsidP="00743275">
      <w:pPr>
        <w:spacing w:line="259" w:lineRule="auto"/>
        <w:ind w:left="360"/>
        <w:contextualSpacing/>
        <w:rPr>
          <w:rFonts w:ascii="Calibri" w:eastAsia="Calibri" w:hAnsi="Calibri" w:cs="Times New Roman"/>
          <w:kern w:val="0"/>
          <w:sz w:val="20"/>
          <w:szCs w:val="20"/>
          <w:lang w:val="el-GR"/>
          <w14:ligatures w14:val="none"/>
        </w:rPr>
      </w:pPr>
    </w:p>
    <w:p w14:paraId="468A7849" w14:textId="77777777" w:rsidR="00743275" w:rsidRPr="00DE11F7" w:rsidRDefault="00743275" w:rsidP="00743275">
      <w:pPr>
        <w:numPr>
          <w:ilvl w:val="0"/>
          <w:numId w:val="1"/>
        </w:numPr>
        <w:spacing w:line="259" w:lineRule="auto"/>
        <w:contextualSpacing/>
        <w:rPr>
          <w:rFonts w:ascii="Calibri" w:eastAsia="Calibri" w:hAnsi="Calibri" w:cs="Times New Roman"/>
          <w:kern w:val="0"/>
          <w:sz w:val="20"/>
          <w:szCs w:val="20"/>
          <w14:ligatures w14:val="none"/>
        </w:rPr>
      </w:pPr>
      <w:r w:rsidRPr="00C14337">
        <w:rPr>
          <w:rFonts w:ascii="Calibri" w:eastAsia="Calibri" w:hAnsi="Calibri" w:cs="Times New Roman"/>
          <w:kern w:val="0"/>
          <w:sz w:val="20"/>
          <w:szCs w:val="20"/>
          <w:lang w:val="el-GR"/>
          <w14:ligatures w14:val="none"/>
        </w:rPr>
        <w:t>Κλείσιμο διαδικτυακής εκδήλωσης</w:t>
      </w:r>
    </w:p>
    <w:p w14:paraId="63AE4376" w14:textId="77777777" w:rsidR="00916BB5" w:rsidRDefault="00916BB5"/>
    <w:sectPr w:rsidR="00916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75"/>
    <w:rsid w:val="00287AA6"/>
    <w:rsid w:val="005C27F1"/>
    <w:rsid w:val="0066073C"/>
    <w:rsid w:val="006C2B63"/>
    <w:rsid w:val="00743275"/>
    <w:rsid w:val="007B458C"/>
    <w:rsid w:val="0091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8FE8"/>
  <w15:chartTrackingRefBased/>
  <w15:docId w15:val="{FD743F56-01B9-4B0E-B371-F57DD549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75"/>
  </w:style>
  <w:style w:type="paragraph" w:styleId="Heading1">
    <w:name w:val="heading 1"/>
    <w:basedOn w:val="Normal"/>
    <w:next w:val="Normal"/>
    <w:link w:val="Heading1Char"/>
    <w:uiPriority w:val="9"/>
    <w:qFormat/>
    <w:rsid w:val="00743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275"/>
    <w:rPr>
      <w:rFonts w:eastAsiaTheme="majorEastAsia" w:cstheme="majorBidi"/>
      <w:color w:val="272727" w:themeColor="text1" w:themeTint="D8"/>
    </w:rPr>
  </w:style>
  <w:style w:type="paragraph" w:styleId="Title">
    <w:name w:val="Title"/>
    <w:basedOn w:val="Normal"/>
    <w:next w:val="Normal"/>
    <w:link w:val="TitleChar"/>
    <w:uiPriority w:val="10"/>
    <w:qFormat/>
    <w:rsid w:val="00743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275"/>
    <w:pPr>
      <w:spacing w:before="160"/>
      <w:jc w:val="center"/>
    </w:pPr>
    <w:rPr>
      <w:i/>
      <w:iCs/>
      <w:color w:val="404040" w:themeColor="text1" w:themeTint="BF"/>
    </w:rPr>
  </w:style>
  <w:style w:type="character" w:customStyle="1" w:styleId="QuoteChar">
    <w:name w:val="Quote Char"/>
    <w:basedOn w:val="DefaultParagraphFont"/>
    <w:link w:val="Quote"/>
    <w:uiPriority w:val="29"/>
    <w:rsid w:val="00743275"/>
    <w:rPr>
      <w:i/>
      <w:iCs/>
      <w:color w:val="404040" w:themeColor="text1" w:themeTint="BF"/>
    </w:rPr>
  </w:style>
  <w:style w:type="paragraph" w:styleId="ListParagraph">
    <w:name w:val="List Paragraph"/>
    <w:basedOn w:val="Normal"/>
    <w:uiPriority w:val="34"/>
    <w:qFormat/>
    <w:rsid w:val="00743275"/>
    <w:pPr>
      <w:ind w:left="720"/>
      <w:contextualSpacing/>
    </w:pPr>
  </w:style>
  <w:style w:type="character" w:styleId="IntenseEmphasis">
    <w:name w:val="Intense Emphasis"/>
    <w:basedOn w:val="DefaultParagraphFont"/>
    <w:uiPriority w:val="21"/>
    <w:qFormat/>
    <w:rsid w:val="00743275"/>
    <w:rPr>
      <w:i/>
      <w:iCs/>
      <w:color w:val="0F4761" w:themeColor="accent1" w:themeShade="BF"/>
    </w:rPr>
  </w:style>
  <w:style w:type="paragraph" w:styleId="IntenseQuote">
    <w:name w:val="Intense Quote"/>
    <w:basedOn w:val="Normal"/>
    <w:next w:val="Normal"/>
    <w:link w:val="IntenseQuoteChar"/>
    <w:uiPriority w:val="30"/>
    <w:qFormat/>
    <w:rsid w:val="00743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275"/>
    <w:rPr>
      <w:i/>
      <w:iCs/>
      <w:color w:val="0F4761" w:themeColor="accent1" w:themeShade="BF"/>
    </w:rPr>
  </w:style>
  <w:style w:type="character" w:styleId="IntenseReference">
    <w:name w:val="Intense Reference"/>
    <w:basedOn w:val="DefaultParagraphFont"/>
    <w:uiPriority w:val="32"/>
    <w:qFormat/>
    <w:rsid w:val="00743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4</cp:revision>
  <dcterms:created xsi:type="dcterms:W3CDTF">2025-09-17T13:20:00Z</dcterms:created>
  <dcterms:modified xsi:type="dcterms:W3CDTF">2025-09-17T13:29:00Z</dcterms:modified>
</cp:coreProperties>
</file>